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03"/>
        <w:gridCol w:w="1483"/>
        <w:gridCol w:w="5210"/>
      </w:tblGrid>
      <w:tr w:rsidR="005E3E7D" w:rsidRPr="00177056" w14:paraId="6D9C9CC6" w14:textId="77777777" w:rsidTr="005E3E7D">
        <w:tc>
          <w:tcPr>
            <w:tcW w:w="3303" w:type="dxa"/>
            <w:shd w:val="clear" w:color="auto" w:fill="auto"/>
          </w:tcPr>
          <w:p w14:paraId="6D9C9CBB" w14:textId="77777777" w:rsidR="005E3E7D" w:rsidRPr="00177056" w:rsidRDefault="005E3E7D" w:rsidP="009622A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6D9C9CBC" w14:textId="77777777" w:rsidR="005E3E7D" w:rsidRPr="00177056" w:rsidRDefault="005E3E7D" w:rsidP="009622AD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  <w:vMerge w:val="restart"/>
            <w:shd w:val="clear" w:color="auto" w:fill="auto"/>
          </w:tcPr>
          <w:p w14:paraId="6D9C9CBD" w14:textId="77777777" w:rsidR="005E3E7D" w:rsidRPr="00177056" w:rsidRDefault="005E3E7D" w:rsidP="009622AD">
            <w:pPr>
              <w:ind w:firstLine="0"/>
              <w:rPr>
                <w:sz w:val="24"/>
                <w:szCs w:val="24"/>
              </w:rPr>
            </w:pPr>
            <w:r w:rsidRPr="00177056">
              <w:rPr>
                <w:sz w:val="24"/>
                <w:szCs w:val="24"/>
              </w:rPr>
              <w:t>УТВЕРЖДЕНО</w:t>
            </w:r>
          </w:p>
          <w:p w14:paraId="6D9C9CBE" w14:textId="77777777" w:rsidR="005E3E7D" w:rsidRPr="00177056" w:rsidRDefault="005E3E7D" w:rsidP="009622AD">
            <w:pPr>
              <w:ind w:firstLine="0"/>
              <w:rPr>
                <w:sz w:val="24"/>
                <w:szCs w:val="24"/>
              </w:rPr>
            </w:pPr>
            <w:r w:rsidRPr="00177056">
              <w:rPr>
                <w:sz w:val="24"/>
                <w:szCs w:val="24"/>
              </w:rPr>
              <w:t xml:space="preserve">Решением Совета </w:t>
            </w:r>
          </w:p>
          <w:p w14:paraId="6D9C9CBF" w14:textId="23DC57EC" w:rsidR="005E3E7D" w:rsidRPr="00177056" w:rsidRDefault="005E3E7D" w:rsidP="009622AD">
            <w:pPr>
              <w:ind w:firstLine="0"/>
              <w:rPr>
                <w:sz w:val="24"/>
                <w:szCs w:val="24"/>
              </w:rPr>
            </w:pPr>
            <w:r w:rsidRPr="00177056">
              <w:rPr>
                <w:sz w:val="24"/>
                <w:szCs w:val="24"/>
              </w:rPr>
              <w:t>НП СРО «Нефтегаз</w:t>
            </w:r>
            <w:r w:rsidR="00915800">
              <w:rPr>
                <w:sz w:val="24"/>
                <w:szCs w:val="24"/>
              </w:rPr>
              <w:t>изыскания</w:t>
            </w:r>
            <w:r w:rsidRPr="00177056">
              <w:rPr>
                <w:sz w:val="24"/>
                <w:szCs w:val="24"/>
              </w:rPr>
              <w:t>-Альянс»</w:t>
            </w:r>
          </w:p>
          <w:p w14:paraId="6D9C9CC0" w14:textId="6B22119E" w:rsidR="005E3E7D" w:rsidRPr="00177056" w:rsidRDefault="005E3E7D" w:rsidP="009622AD">
            <w:pPr>
              <w:ind w:firstLine="0"/>
              <w:rPr>
                <w:sz w:val="24"/>
                <w:szCs w:val="24"/>
              </w:rPr>
            </w:pPr>
            <w:r w:rsidRPr="00177056">
              <w:rPr>
                <w:sz w:val="24"/>
                <w:szCs w:val="24"/>
              </w:rPr>
              <w:t xml:space="preserve">от </w:t>
            </w:r>
            <w:r w:rsidR="00915800">
              <w:rPr>
                <w:sz w:val="24"/>
                <w:szCs w:val="24"/>
              </w:rPr>
              <w:t>23.06.2017</w:t>
            </w:r>
            <w:r w:rsidRPr="00177056">
              <w:rPr>
                <w:sz w:val="24"/>
                <w:szCs w:val="24"/>
              </w:rPr>
              <w:t xml:space="preserve">, протокол № </w:t>
            </w:r>
            <w:r w:rsidR="00915800">
              <w:rPr>
                <w:sz w:val="24"/>
                <w:szCs w:val="24"/>
              </w:rPr>
              <w:t>77</w:t>
            </w:r>
          </w:p>
          <w:p w14:paraId="6D9C9CC1" w14:textId="58608682" w:rsidR="005E3E7D" w:rsidRPr="00177056" w:rsidRDefault="005E3E7D" w:rsidP="009622AD">
            <w:pPr>
              <w:ind w:firstLine="34"/>
              <w:rPr>
                <w:sz w:val="24"/>
                <w:szCs w:val="24"/>
              </w:rPr>
            </w:pPr>
            <w:r w:rsidRPr="00177056">
              <w:rPr>
                <w:sz w:val="24"/>
                <w:szCs w:val="24"/>
              </w:rPr>
              <w:t xml:space="preserve">Приложение </w:t>
            </w:r>
            <w:r w:rsidR="00915800">
              <w:rPr>
                <w:sz w:val="24"/>
                <w:szCs w:val="24"/>
              </w:rPr>
              <w:t>8</w:t>
            </w:r>
          </w:p>
          <w:p w14:paraId="6D9C9CC2" w14:textId="77777777" w:rsidR="005E3E7D" w:rsidRPr="00177056" w:rsidRDefault="005E3E7D" w:rsidP="009622AD">
            <w:pPr>
              <w:ind w:firstLine="34"/>
              <w:rPr>
                <w:sz w:val="24"/>
                <w:szCs w:val="24"/>
              </w:rPr>
            </w:pPr>
          </w:p>
          <w:p w14:paraId="6D9C9CC3" w14:textId="0A15053E" w:rsidR="005E3E7D" w:rsidRPr="00177056" w:rsidRDefault="005E3E7D" w:rsidP="009622AD">
            <w:pPr>
              <w:ind w:firstLine="34"/>
              <w:rPr>
                <w:sz w:val="24"/>
                <w:szCs w:val="24"/>
              </w:rPr>
            </w:pPr>
            <w:r w:rsidRPr="00177056">
              <w:rPr>
                <w:sz w:val="24"/>
                <w:szCs w:val="24"/>
              </w:rPr>
              <w:t>Председатель</w:t>
            </w:r>
            <w:r w:rsidR="00915800">
              <w:rPr>
                <w:sz w:val="24"/>
                <w:szCs w:val="24"/>
              </w:rPr>
              <w:t>ствующий</w:t>
            </w:r>
          </w:p>
          <w:p w14:paraId="6D9C9CC4" w14:textId="77777777" w:rsidR="005E3E7D" w:rsidRPr="00177056" w:rsidRDefault="005E3E7D" w:rsidP="009622AD">
            <w:pPr>
              <w:ind w:firstLine="34"/>
              <w:rPr>
                <w:sz w:val="24"/>
                <w:szCs w:val="24"/>
              </w:rPr>
            </w:pPr>
          </w:p>
          <w:p w14:paraId="6D9C9CC5" w14:textId="6040810D" w:rsidR="005E3E7D" w:rsidRPr="00177056" w:rsidRDefault="005E3E7D" w:rsidP="00915800">
            <w:pPr>
              <w:ind w:firstLine="34"/>
              <w:rPr>
                <w:sz w:val="24"/>
                <w:szCs w:val="24"/>
              </w:rPr>
            </w:pPr>
            <w:r w:rsidRPr="00177056">
              <w:rPr>
                <w:sz w:val="24"/>
                <w:szCs w:val="24"/>
              </w:rPr>
              <w:t>_____________________</w:t>
            </w:r>
            <w:r w:rsidR="00915800">
              <w:rPr>
                <w:sz w:val="24"/>
                <w:szCs w:val="24"/>
              </w:rPr>
              <w:t>А.А. Пелых</w:t>
            </w:r>
          </w:p>
        </w:tc>
      </w:tr>
      <w:tr w:rsidR="005E3E7D" w:rsidRPr="00177056" w14:paraId="6D9C9CCA" w14:textId="77777777" w:rsidTr="005E3E7D">
        <w:tc>
          <w:tcPr>
            <w:tcW w:w="3303" w:type="dxa"/>
            <w:shd w:val="clear" w:color="auto" w:fill="auto"/>
          </w:tcPr>
          <w:p w14:paraId="6D9C9CC7" w14:textId="77777777" w:rsidR="005E3E7D" w:rsidRPr="00177056" w:rsidRDefault="005E3E7D" w:rsidP="009622A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6D9C9CC8" w14:textId="77777777" w:rsidR="005E3E7D" w:rsidRPr="00177056" w:rsidRDefault="005E3E7D" w:rsidP="009622AD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  <w:vMerge/>
            <w:shd w:val="clear" w:color="auto" w:fill="auto"/>
          </w:tcPr>
          <w:p w14:paraId="6D9C9CC9" w14:textId="77777777" w:rsidR="005E3E7D" w:rsidRPr="00177056" w:rsidRDefault="005E3E7D" w:rsidP="009622AD">
            <w:pPr>
              <w:rPr>
                <w:sz w:val="24"/>
                <w:szCs w:val="24"/>
              </w:rPr>
            </w:pPr>
          </w:p>
        </w:tc>
      </w:tr>
      <w:tr w:rsidR="005E3E7D" w:rsidRPr="00177056" w14:paraId="6D9C9CCE" w14:textId="77777777" w:rsidTr="005E3E7D">
        <w:tc>
          <w:tcPr>
            <w:tcW w:w="3303" w:type="dxa"/>
            <w:shd w:val="clear" w:color="auto" w:fill="auto"/>
          </w:tcPr>
          <w:p w14:paraId="6D9C9CCB" w14:textId="77777777" w:rsidR="005E3E7D" w:rsidRPr="00177056" w:rsidRDefault="005E3E7D" w:rsidP="009622A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6D9C9CCC" w14:textId="77777777" w:rsidR="005E3E7D" w:rsidRPr="00177056" w:rsidRDefault="005E3E7D" w:rsidP="009622AD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  <w:vMerge/>
            <w:shd w:val="clear" w:color="auto" w:fill="auto"/>
          </w:tcPr>
          <w:p w14:paraId="6D9C9CCD" w14:textId="77777777" w:rsidR="005E3E7D" w:rsidRPr="00177056" w:rsidRDefault="005E3E7D" w:rsidP="009622AD">
            <w:pPr>
              <w:rPr>
                <w:sz w:val="24"/>
                <w:szCs w:val="24"/>
              </w:rPr>
            </w:pPr>
          </w:p>
        </w:tc>
      </w:tr>
    </w:tbl>
    <w:p w14:paraId="6D9C9CCF" w14:textId="77777777" w:rsidR="005E3E7D" w:rsidRPr="00177056" w:rsidRDefault="005E3E7D" w:rsidP="005E3E7D">
      <w:pPr>
        <w:rPr>
          <w:sz w:val="24"/>
          <w:szCs w:val="24"/>
        </w:rPr>
      </w:pPr>
    </w:p>
    <w:p w14:paraId="6D9C9CD0" w14:textId="77777777" w:rsidR="005E3E7D" w:rsidRPr="00177056" w:rsidRDefault="005E3E7D" w:rsidP="005E3E7D">
      <w:pPr>
        <w:rPr>
          <w:sz w:val="24"/>
          <w:szCs w:val="24"/>
        </w:rPr>
      </w:pPr>
    </w:p>
    <w:p w14:paraId="6D9C9CD1" w14:textId="77777777" w:rsidR="005E3E7D" w:rsidRPr="00177056" w:rsidRDefault="005E3E7D" w:rsidP="005E3E7D">
      <w:pPr>
        <w:rPr>
          <w:sz w:val="24"/>
          <w:szCs w:val="24"/>
        </w:rPr>
      </w:pPr>
    </w:p>
    <w:p w14:paraId="6D9C9CD2" w14:textId="77777777" w:rsidR="005E3E7D" w:rsidRPr="00177056" w:rsidRDefault="005E3E7D" w:rsidP="005E3E7D">
      <w:pPr>
        <w:rPr>
          <w:sz w:val="24"/>
          <w:szCs w:val="24"/>
        </w:rPr>
      </w:pPr>
    </w:p>
    <w:p w14:paraId="6D9C9CD3" w14:textId="77777777" w:rsidR="005E3E7D" w:rsidRPr="00177056" w:rsidRDefault="005E3E7D" w:rsidP="005E3E7D">
      <w:pPr>
        <w:rPr>
          <w:sz w:val="24"/>
          <w:szCs w:val="24"/>
        </w:rPr>
      </w:pPr>
    </w:p>
    <w:p w14:paraId="6D9C9CD4" w14:textId="77777777" w:rsidR="005E3E7D" w:rsidRPr="00177056" w:rsidRDefault="005E3E7D" w:rsidP="005E3E7D">
      <w:pPr>
        <w:rPr>
          <w:sz w:val="24"/>
          <w:szCs w:val="24"/>
        </w:rPr>
      </w:pPr>
    </w:p>
    <w:p w14:paraId="6D9C9CD5" w14:textId="77777777" w:rsidR="005E3E7D" w:rsidRPr="00177056" w:rsidRDefault="005E3E7D" w:rsidP="005E3E7D">
      <w:pPr>
        <w:rPr>
          <w:sz w:val="24"/>
          <w:szCs w:val="24"/>
        </w:rPr>
      </w:pPr>
    </w:p>
    <w:p w14:paraId="6D9C9CD6" w14:textId="77777777" w:rsidR="005E3E7D" w:rsidRPr="00177056" w:rsidRDefault="005E3E7D" w:rsidP="005E3E7D">
      <w:pPr>
        <w:rPr>
          <w:sz w:val="24"/>
          <w:szCs w:val="24"/>
        </w:rPr>
      </w:pPr>
    </w:p>
    <w:p w14:paraId="6D9C9CD7" w14:textId="77777777" w:rsidR="005E3E7D" w:rsidRPr="00177056" w:rsidRDefault="005E3E7D" w:rsidP="005E3E7D">
      <w:pPr>
        <w:rPr>
          <w:sz w:val="24"/>
          <w:szCs w:val="24"/>
        </w:rPr>
      </w:pPr>
    </w:p>
    <w:p w14:paraId="6D9C9CD8" w14:textId="77777777" w:rsidR="005E3E7D" w:rsidRPr="00177056" w:rsidRDefault="005E3E7D" w:rsidP="005E3E7D">
      <w:pPr>
        <w:ind w:firstLine="0"/>
        <w:jc w:val="center"/>
        <w:rPr>
          <w:b/>
          <w:sz w:val="24"/>
          <w:szCs w:val="24"/>
        </w:rPr>
      </w:pPr>
      <w:r w:rsidRPr="00177056">
        <w:rPr>
          <w:b/>
          <w:sz w:val="24"/>
          <w:szCs w:val="24"/>
        </w:rPr>
        <w:t xml:space="preserve">Положение </w:t>
      </w:r>
    </w:p>
    <w:p w14:paraId="6D9C9CD9" w14:textId="77A4A00E" w:rsidR="005E3E7D" w:rsidRPr="00177056" w:rsidRDefault="008A416F" w:rsidP="005E3E7D">
      <w:pPr>
        <w:ind w:firstLine="0"/>
        <w:jc w:val="center"/>
        <w:rPr>
          <w:b/>
          <w:sz w:val="24"/>
          <w:szCs w:val="24"/>
        </w:rPr>
      </w:pPr>
      <w:bookmarkStart w:id="0" w:name="_Hlk485676870"/>
      <w:r w:rsidRPr="00177056">
        <w:rPr>
          <w:b/>
          <w:sz w:val="24"/>
          <w:szCs w:val="24"/>
        </w:rPr>
        <w:t xml:space="preserve">о </w:t>
      </w:r>
      <w:r w:rsidR="0081069D">
        <w:rPr>
          <w:b/>
          <w:sz w:val="24"/>
          <w:szCs w:val="24"/>
        </w:rPr>
        <w:t>страховании ответственности членов</w:t>
      </w:r>
      <w:bookmarkEnd w:id="0"/>
    </w:p>
    <w:p w14:paraId="6D9C9CDA" w14:textId="12900C48" w:rsidR="005E3E7D" w:rsidRPr="00177056" w:rsidRDefault="005E3E7D" w:rsidP="005E3E7D">
      <w:pPr>
        <w:ind w:firstLine="0"/>
        <w:jc w:val="center"/>
        <w:rPr>
          <w:b/>
          <w:sz w:val="24"/>
          <w:szCs w:val="24"/>
        </w:rPr>
      </w:pPr>
      <w:r w:rsidRPr="00177056">
        <w:rPr>
          <w:b/>
          <w:sz w:val="24"/>
          <w:szCs w:val="24"/>
        </w:rPr>
        <w:t>НП СРО «Нефтегаз</w:t>
      </w:r>
      <w:r w:rsidR="00915800">
        <w:rPr>
          <w:b/>
          <w:sz w:val="24"/>
          <w:szCs w:val="24"/>
        </w:rPr>
        <w:t>изыскания</w:t>
      </w:r>
      <w:r w:rsidRPr="00177056">
        <w:rPr>
          <w:b/>
          <w:sz w:val="24"/>
          <w:szCs w:val="24"/>
        </w:rPr>
        <w:t>-Альянс»</w:t>
      </w:r>
    </w:p>
    <w:p w14:paraId="6D9C9CDB" w14:textId="77777777" w:rsidR="005E3E7D" w:rsidRPr="00177056" w:rsidRDefault="005E3E7D" w:rsidP="005E3E7D">
      <w:pPr>
        <w:rPr>
          <w:sz w:val="24"/>
          <w:szCs w:val="24"/>
        </w:rPr>
      </w:pPr>
    </w:p>
    <w:p w14:paraId="6D9C9CDC" w14:textId="77777777" w:rsidR="005E3E7D" w:rsidRPr="00177056" w:rsidRDefault="005E3E7D" w:rsidP="005E3E7D">
      <w:pPr>
        <w:rPr>
          <w:sz w:val="24"/>
          <w:szCs w:val="24"/>
        </w:rPr>
      </w:pPr>
    </w:p>
    <w:p w14:paraId="6D9C9CDD" w14:textId="77777777" w:rsidR="005E3E7D" w:rsidRPr="00177056" w:rsidRDefault="005E3E7D" w:rsidP="005E3E7D">
      <w:pPr>
        <w:rPr>
          <w:sz w:val="24"/>
          <w:szCs w:val="24"/>
        </w:rPr>
      </w:pPr>
    </w:p>
    <w:p w14:paraId="6D9C9CDE" w14:textId="77777777" w:rsidR="005E3E7D" w:rsidRPr="00177056" w:rsidRDefault="005E3E7D" w:rsidP="005E3E7D">
      <w:pPr>
        <w:rPr>
          <w:sz w:val="24"/>
          <w:szCs w:val="24"/>
        </w:rPr>
      </w:pPr>
    </w:p>
    <w:p w14:paraId="6D9C9CDF" w14:textId="77777777" w:rsidR="005E3E7D" w:rsidRPr="00177056" w:rsidRDefault="005E3E7D" w:rsidP="005E3E7D">
      <w:pPr>
        <w:rPr>
          <w:sz w:val="24"/>
          <w:szCs w:val="24"/>
        </w:rPr>
      </w:pPr>
    </w:p>
    <w:p w14:paraId="6D9C9CE0" w14:textId="77777777" w:rsidR="005E3E7D" w:rsidRPr="00177056" w:rsidRDefault="005E3E7D" w:rsidP="005E3E7D">
      <w:pPr>
        <w:rPr>
          <w:sz w:val="24"/>
          <w:szCs w:val="24"/>
        </w:rPr>
      </w:pPr>
    </w:p>
    <w:p w14:paraId="6D9C9CE1" w14:textId="77777777" w:rsidR="005E3E7D" w:rsidRPr="00177056" w:rsidRDefault="005E3E7D" w:rsidP="005E3E7D">
      <w:pPr>
        <w:rPr>
          <w:sz w:val="24"/>
          <w:szCs w:val="24"/>
        </w:rPr>
      </w:pPr>
    </w:p>
    <w:p w14:paraId="6D9C9CE2" w14:textId="77777777" w:rsidR="005E3E7D" w:rsidRPr="00177056" w:rsidRDefault="005E3E7D" w:rsidP="005E3E7D">
      <w:pPr>
        <w:rPr>
          <w:sz w:val="24"/>
          <w:szCs w:val="24"/>
        </w:rPr>
      </w:pPr>
    </w:p>
    <w:p w14:paraId="6D9C9CE3" w14:textId="77777777" w:rsidR="005E3E7D" w:rsidRPr="00177056" w:rsidRDefault="005E3E7D" w:rsidP="005E3E7D">
      <w:pPr>
        <w:rPr>
          <w:sz w:val="24"/>
          <w:szCs w:val="24"/>
        </w:rPr>
      </w:pPr>
    </w:p>
    <w:p w14:paraId="6D9C9CE4" w14:textId="77777777" w:rsidR="005E3E7D" w:rsidRPr="00177056" w:rsidRDefault="005E3E7D" w:rsidP="005E3E7D">
      <w:pPr>
        <w:rPr>
          <w:sz w:val="24"/>
          <w:szCs w:val="24"/>
        </w:rPr>
      </w:pPr>
    </w:p>
    <w:p w14:paraId="6D9C9CE5" w14:textId="77777777" w:rsidR="005E3E7D" w:rsidRPr="00177056" w:rsidRDefault="005E3E7D" w:rsidP="005E3E7D">
      <w:pPr>
        <w:rPr>
          <w:sz w:val="24"/>
          <w:szCs w:val="24"/>
        </w:rPr>
      </w:pPr>
    </w:p>
    <w:p w14:paraId="6D9C9CE6" w14:textId="77777777" w:rsidR="005E3E7D" w:rsidRPr="00177056" w:rsidRDefault="005E3E7D" w:rsidP="005E3E7D">
      <w:pPr>
        <w:rPr>
          <w:sz w:val="24"/>
          <w:szCs w:val="24"/>
        </w:rPr>
      </w:pPr>
    </w:p>
    <w:p w14:paraId="6D9C9CE7" w14:textId="77777777" w:rsidR="005E3E7D" w:rsidRPr="00177056" w:rsidRDefault="005E3E7D" w:rsidP="005E3E7D">
      <w:pPr>
        <w:rPr>
          <w:sz w:val="24"/>
          <w:szCs w:val="24"/>
        </w:rPr>
      </w:pPr>
    </w:p>
    <w:p w14:paraId="6D9C9CE8" w14:textId="77777777" w:rsidR="005E3E7D" w:rsidRPr="00177056" w:rsidRDefault="005E3E7D" w:rsidP="005E3E7D">
      <w:pPr>
        <w:rPr>
          <w:sz w:val="24"/>
          <w:szCs w:val="24"/>
        </w:rPr>
      </w:pPr>
    </w:p>
    <w:p w14:paraId="6D9C9CE9" w14:textId="77777777" w:rsidR="005E3E7D" w:rsidRPr="00177056" w:rsidRDefault="005E3E7D" w:rsidP="005E3E7D">
      <w:pPr>
        <w:rPr>
          <w:sz w:val="24"/>
          <w:szCs w:val="24"/>
        </w:rPr>
      </w:pPr>
    </w:p>
    <w:p w14:paraId="6D9C9CEA" w14:textId="77777777" w:rsidR="005E3E7D" w:rsidRPr="00177056" w:rsidRDefault="005E3E7D" w:rsidP="005E3E7D">
      <w:pPr>
        <w:rPr>
          <w:sz w:val="24"/>
          <w:szCs w:val="24"/>
        </w:rPr>
      </w:pPr>
    </w:p>
    <w:p w14:paraId="6D9C9CEB" w14:textId="77777777" w:rsidR="005E3E7D" w:rsidRPr="00177056" w:rsidRDefault="005E3E7D" w:rsidP="005E3E7D">
      <w:pPr>
        <w:rPr>
          <w:sz w:val="24"/>
          <w:szCs w:val="24"/>
        </w:rPr>
      </w:pPr>
    </w:p>
    <w:p w14:paraId="6D9C9CEC" w14:textId="77777777" w:rsidR="005E3E7D" w:rsidRPr="00177056" w:rsidRDefault="005E3E7D" w:rsidP="005E3E7D">
      <w:pPr>
        <w:rPr>
          <w:sz w:val="24"/>
          <w:szCs w:val="24"/>
        </w:rPr>
      </w:pPr>
    </w:p>
    <w:p w14:paraId="6D9C9CED" w14:textId="77777777" w:rsidR="005E3E7D" w:rsidRPr="00177056" w:rsidRDefault="005E3E7D" w:rsidP="005E3E7D">
      <w:pPr>
        <w:rPr>
          <w:sz w:val="24"/>
          <w:szCs w:val="24"/>
        </w:rPr>
      </w:pPr>
    </w:p>
    <w:p w14:paraId="6D9C9CEE" w14:textId="77777777" w:rsidR="005E3E7D" w:rsidRPr="00177056" w:rsidRDefault="005E3E7D" w:rsidP="005E3E7D">
      <w:pPr>
        <w:rPr>
          <w:sz w:val="24"/>
          <w:szCs w:val="24"/>
        </w:rPr>
      </w:pPr>
    </w:p>
    <w:p w14:paraId="6D9C9CEF" w14:textId="77777777" w:rsidR="005E3E7D" w:rsidRPr="00177056" w:rsidRDefault="005E3E7D" w:rsidP="005E3E7D">
      <w:pPr>
        <w:rPr>
          <w:sz w:val="24"/>
          <w:szCs w:val="24"/>
        </w:rPr>
      </w:pPr>
    </w:p>
    <w:p w14:paraId="6D9C9CF0" w14:textId="77777777" w:rsidR="005E3E7D" w:rsidRPr="00177056" w:rsidRDefault="005E3E7D" w:rsidP="005E3E7D">
      <w:pPr>
        <w:rPr>
          <w:sz w:val="24"/>
          <w:szCs w:val="24"/>
        </w:rPr>
      </w:pPr>
    </w:p>
    <w:p w14:paraId="6D9C9CF1" w14:textId="77777777" w:rsidR="005E3E7D" w:rsidRPr="00177056" w:rsidRDefault="005E3E7D" w:rsidP="005E3E7D">
      <w:pPr>
        <w:ind w:firstLine="0"/>
        <w:jc w:val="center"/>
        <w:rPr>
          <w:sz w:val="24"/>
          <w:szCs w:val="24"/>
        </w:rPr>
      </w:pPr>
    </w:p>
    <w:p w14:paraId="6D9C9CF2" w14:textId="77777777" w:rsidR="005E3E7D" w:rsidRPr="00177056" w:rsidRDefault="005E3E7D" w:rsidP="005E3E7D">
      <w:pPr>
        <w:ind w:firstLine="0"/>
        <w:jc w:val="center"/>
        <w:rPr>
          <w:sz w:val="24"/>
          <w:szCs w:val="24"/>
        </w:rPr>
      </w:pPr>
      <w:r w:rsidRPr="00177056">
        <w:rPr>
          <w:sz w:val="24"/>
          <w:szCs w:val="24"/>
        </w:rPr>
        <w:t>Москва</w:t>
      </w:r>
    </w:p>
    <w:p w14:paraId="6D9C9CF3" w14:textId="77777777" w:rsidR="005E3E7D" w:rsidRPr="00177056" w:rsidRDefault="005E3E7D" w:rsidP="005E3E7D">
      <w:pPr>
        <w:ind w:firstLine="0"/>
        <w:jc w:val="center"/>
        <w:rPr>
          <w:sz w:val="24"/>
          <w:szCs w:val="24"/>
        </w:rPr>
        <w:sectPr w:rsidR="005E3E7D" w:rsidRPr="00177056" w:rsidSect="00DD360A">
          <w:footerReference w:type="default" r:id="rId8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  <w:r w:rsidRPr="00177056">
        <w:rPr>
          <w:sz w:val="24"/>
          <w:szCs w:val="24"/>
        </w:rPr>
        <w:t>2017</w:t>
      </w:r>
    </w:p>
    <w:p w14:paraId="6D9C9CF4" w14:textId="77777777" w:rsidR="009872CA" w:rsidRPr="00177056" w:rsidRDefault="009872CA" w:rsidP="009872CA">
      <w:pPr>
        <w:pStyle w:val="a3"/>
        <w:numPr>
          <w:ilvl w:val="0"/>
          <w:numId w:val="1"/>
        </w:numPr>
        <w:tabs>
          <w:tab w:val="left" w:pos="284"/>
        </w:tabs>
        <w:jc w:val="center"/>
        <w:rPr>
          <w:b/>
          <w:sz w:val="24"/>
          <w:szCs w:val="24"/>
        </w:rPr>
      </w:pPr>
      <w:r w:rsidRPr="00177056">
        <w:rPr>
          <w:b/>
          <w:sz w:val="24"/>
          <w:szCs w:val="24"/>
        </w:rPr>
        <w:lastRenderedPageBreak/>
        <w:t>Общие положения</w:t>
      </w:r>
    </w:p>
    <w:p w14:paraId="6D9C9CF5" w14:textId="77777777" w:rsidR="00E267CF" w:rsidRPr="00177056" w:rsidRDefault="00E267CF" w:rsidP="00E267CF">
      <w:pPr>
        <w:pStyle w:val="a3"/>
        <w:tabs>
          <w:tab w:val="left" w:pos="284"/>
        </w:tabs>
        <w:ind w:left="0" w:firstLine="0"/>
        <w:rPr>
          <w:b/>
          <w:sz w:val="24"/>
          <w:szCs w:val="24"/>
        </w:rPr>
      </w:pPr>
    </w:p>
    <w:p w14:paraId="6D9C9CF6" w14:textId="62471240" w:rsidR="009872CA" w:rsidRPr="00177056" w:rsidRDefault="009872CA" w:rsidP="0081069D">
      <w:pPr>
        <w:pStyle w:val="a3"/>
        <w:numPr>
          <w:ilvl w:val="1"/>
          <w:numId w:val="1"/>
        </w:numPr>
        <w:rPr>
          <w:sz w:val="24"/>
          <w:szCs w:val="24"/>
        </w:rPr>
      </w:pPr>
      <w:r w:rsidRPr="00177056">
        <w:rPr>
          <w:sz w:val="24"/>
          <w:szCs w:val="24"/>
        </w:rPr>
        <w:t xml:space="preserve">Настоящее Положение о </w:t>
      </w:r>
      <w:r w:rsidR="0081069D" w:rsidRPr="0081069D">
        <w:rPr>
          <w:sz w:val="24"/>
          <w:szCs w:val="24"/>
        </w:rPr>
        <w:t>страховании ответственности членов</w:t>
      </w:r>
      <w:r w:rsidRPr="00177056">
        <w:rPr>
          <w:sz w:val="24"/>
          <w:szCs w:val="24"/>
        </w:rPr>
        <w:t xml:space="preserve"> НП СРО «Нефтегаз</w:t>
      </w:r>
      <w:r w:rsidR="00915800">
        <w:rPr>
          <w:sz w:val="24"/>
          <w:szCs w:val="24"/>
        </w:rPr>
        <w:t>изыскания</w:t>
      </w:r>
      <w:r w:rsidRPr="00177056">
        <w:rPr>
          <w:sz w:val="24"/>
          <w:szCs w:val="24"/>
        </w:rPr>
        <w:t>-Альянс» (далее - Положение) устанавливает</w:t>
      </w:r>
      <w:r w:rsidR="0081069D">
        <w:rPr>
          <w:sz w:val="24"/>
          <w:szCs w:val="24"/>
        </w:rPr>
        <w:t xml:space="preserve"> основания,</w:t>
      </w:r>
      <w:r w:rsidRPr="00177056">
        <w:rPr>
          <w:sz w:val="24"/>
          <w:szCs w:val="24"/>
        </w:rPr>
        <w:t xml:space="preserve"> правила и порядок </w:t>
      </w:r>
      <w:r w:rsidR="0081069D">
        <w:rPr>
          <w:sz w:val="24"/>
          <w:szCs w:val="24"/>
        </w:rPr>
        <w:t>страхования ответственности членов</w:t>
      </w:r>
      <w:r w:rsidRPr="00177056">
        <w:rPr>
          <w:sz w:val="24"/>
          <w:szCs w:val="24"/>
        </w:rPr>
        <w:t xml:space="preserve"> НП СРО «Нефтегаз</w:t>
      </w:r>
      <w:r w:rsidR="00915800">
        <w:rPr>
          <w:sz w:val="24"/>
          <w:szCs w:val="24"/>
        </w:rPr>
        <w:t>изыскания</w:t>
      </w:r>
      <w:r w:rsidRPr="00177056">
        <w:rPr>
          <w:sz w:val="24"/>
          <w:szCs w:val="24"/>
        </w:rPr>
        <w:t>-Альянс».</w:t>
      </w:r>
    </w:p>
    <w:p w14:paraId="6D9C9CF7" w14:textId="5A4FA33C" w:rsidR="005E3E7D" w:rsidRPr="00177056" w:rsidRDefault="009872CA" w:rsidP="009872CA">
      <w:pPr>
        <w:pStyle w:val="a3"/>
        <w:numPr>
          <w:ilvl w:val="1"/>
          <w:numId w:val="1"/>
        </w:numPr>
        <w:rPr>
          <w:sz w:val="24"/>
          <w:szCs w:val="24"/>
        </w:rPr>
      </w:pPr>
      <w:r w:rsidRPr="00177056">
        <w:rPr>
          <w:sz w:val="24"/>
          <w:szCs w:val="24"/>
        </w:rPr>
        <w:t xml:space="preserve"> Положение является внутренним документом Некоммерческого партнерства саморегулируемой организации «Объединение </w:t>
      </w:r>
      <w:r w:rsidR="00915800">
        <w:rPr>
          <w:sz w:val="24"/>
          <w:szCs w:val="24"/>
        </w:rPr>
        <w:t>изыскателей для проектирования и строительства</w:t>
      </w:r>
      <w:r w:rsidRPr="00177056">
        <w:rPr>
          <w:sz w:val="24"/>
          <w:szCs w:val="24"/>
        </w:rPr>
        <w:t xml:space="preserve"> объектов топливно-энергетического комплекса «Нефтегаз</w:t>
      </w:r>
      <w:r w:rsidR="00915800">
        <w:rPr>
          <w:sz w:val="24"/>
          <w:szCs w:val="24"/>
        </w:rPr>
        <w:t>изыскания</w:t>
      </w:r>
      <w:r w:rsidRPr="00177056">
        <w:rPr>
          <w:sz w:val="24"/>
          <w:szCs w:val="24"/>
        </w:rPr>
        <w:t>-Альянс» (далее - Партнерство). Правила, установленные Положением, обязательны для членов Партнерства, Партнерства и иных лиц в соответствии с пунктом 1.1 статьи 8 и статьей 181.1 Гражданского кодекса Российской Федерации, частью 4 статьи 4, частью 10 статьи 55.5 Градостроительного кодекса Р</w:t>
      </w:r>
      <w:bookmarkStart w:id="1" w:name="_GoBack"/>
      <w:bookmarkEnd w:id="1"/>
      <w:r w:rsidRPr="00177056">
        <w:rPr>
          <w:sz w:val="24"/>
          <w:szCs w:val="24"/>
        </w:rPr>
        <w:t>оссийской Федерации.</w:t>
      </w:r>
    </w:p>
    <w:p w14:paraId="4A61038C" w14:textId="77777777" w:rsidR="007C348E" w:rsidRPr="00177056" w:rsidRDefault="007C348E" w:rsidP="007C348E">
      <w:pPr>
        <w:pStyle w:val="a3"/>
        <w:numPr>
          <w:ilvl w:val="1"/>
          <w:numId w:val="1"/>
        </w:numPr>
        <w:rPr>
          <w:sz w:val="24"/>
          <w:szCs w:val="24"/>
        </w:rPr>
      </w:pPr>
      <w:r w:rsidRPr="00177056">
        <w:rPr>
          <w:sz w:val="24"/>
          <w:szCs w:val="24"/>
        </w:rPr>
        <w:t>Установленные Положением правила применяются, поскольку законом и иными нормативными правовыми актами не предусмотрено иное.</w:t>
      </w:r>
    </w:p>
    <w:p w14:paraId="6D9C9CF8" w14:textId="77777777" w:rsidR="003C6332" w:rsidRPr="00177056" w:rsidRDefault="003C6332" w:rsidP="003C6332">
      <w:pPr>
        <w:pStyle w:val="a3"/>
        <w:ind w:left="0" w:firstLine="0"/>
        <w:rPr>
          <w:sz w:val="24"/>
          <w:szCs w:val="24"/>
        </w:rPr>
      </w:pPr>
    </w:p>
    <w:p w14:paraId="6D9C9CF9" w14:textId="0D11AE90" w:rsidR="003C6332" w:rsidRPr="00177056" w:rsidRDefault="00937894" w:rsidP="003C6332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Страхование</w:t>
      </w:r>
      <w:r w:rsidR="00E71167">
        <w:rPr>
          <w:b/>
          <w:sz w:val="24"/>
          <w:szCs w:val="24"/>
        </w:rPr>
        <w:t xml:space="preserve"> ответственности</w:t>
      </w:r>
    </w:p>
    <w:p w14:paraId="6D9C9CFA" w14:textId="77777777" w:rsidR="00E267CF" w:rsidRPr="00177056" w:rsidRDefault="00E267CF" w:rsidP="00E267CF">
      <w:pPr>
        <w:pStyle w:val="a3"/>
        <w:tabs>
          <w:tab w:val="left" w:pos="284"/>
          <w:tab w:val="left" w:pos="567"/>
        </w:tabs>
        <w:ind w:left="0" w:firstLine="0"/>
        <w:rPr>
          <w:b/>
          <w:sz w:val="24"/>
          <w:szCs w:val="24"/>
        </w:rPr>
      </w:pPr>
    </w:p>
    <w:p w14:paraId="1647884F" w14:textId="3CD86465" w:rsidR="009622AD" w:rsidRDefault="009622AD" w:rsidP="0081069D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Партнерство вправе страховать риск наступления ответственности Партнерства и членов Партнерства в пределах, установленных Положением.</w:t>
      </w:r>
    </w:p>
    <w:p w14:paraId="54904BA9" w14:textId="4BB9A357" w:rsidR="00E71167" w:rsidRDefault="00E71167" w:rsidP="00E71167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Партнерство осуществляет страхование ответственности своей волей и в своем интересе. Н</w:t>
      </w:r>
      <w:r w:rsidRPr="00E71167">
        <w:rPr>
          <w:sz w:val="24"/>
          <w:szCs w:val="24"/>
        </w:rPr>
        <w:t>аличие страхования ответственности</w:t>
      </w:r>
      <w:r>
        <w:rPr>
          <w:sz w:val="24"/>
          <w:szCs w:val="24"/>
        </w:rPr>
        <w:t>, его определенные формы, размеры и условия не</w:t>
      </w:r>
      <w:r w:rsidRPr="00E71167">
        <w:rPr>
          <w:sz w:val="24"/>
          <w:szCs w:val="24"/>
        </w:rPr>
        <w:t xml:space="preserve"> явля</w:t>
      </w:r>
      <w:r>
        <w:rPr>
          <w:sz w:val="24"/>
          <w:szCs w:val="24"/>
        </w:rPr>
        <w:t>ю</w:t>
      </w:r>
      <w:r w:rsidRPr="00E71167">
        <w:rPr>
          <w:sz w:val="24"/>
          <w:szCs w:val="24"/>
        </w:rPr>
        <w:t>тся условием членств</w:t>
      </w:r>
      <w:r>
        <w:rPr>
          <w:sz w:val="24"/>
          <w:szCs w:val="24"/>
        </w:rPr>
        <w:t>а в Партнерстве.</w:t>
      </w:r>
    </w:p>
    <w:p w14:paraId="6D9C9CFB" w14:textId="18492CAE" w:rsidR="006C2D26" w:rsidRDefault="0081069D" w:rsidP="0081069D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Страхование ответственности членов Партнерства является</w:t>
      </w:r>
      <w:r w:rsidR="00E71167">
        <w:rPr>
          <w:sz w:val="24"/>
          <w:szCs w:val="24"/>
        </w:rPr>
        <w:t xml:space="preserve"> одним из</w:t>
      </w:r>
      <w:r>
        <w:rPr>
          <w:sz w:val="24"/>
          <w:szCs w:val="24"/>
        </w:rPr>
        <w:t xml:space="preserve"> способо</w:t>
      </w:r>
      <w:r w:rsidR="00E7116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1069D">
        <w:rPr>
          <w:sz w:val="24"/>
          <w:szCs w:val="24"/>
        </w:rPr>
        <w:t xml:space="preserve">обеспечения имущественной ответственности членов </w:t>
      </w:r>
      <w:proofErr w:type="gramStart"/>
      <w:r>
        <w:rPr>
          <w:sz w:val="24"/>
          <w:szCs w:val="24"/>
        </w:rPr>
        <w:t>Партнерства</w:t>
      </w:r>
      <w:proofErr w:type="gramEnd"/>
      <w:r w:rsidRPr="0081069D">
        <w:rPr>
          <w:sz w:val="24"/>
          <w:szCs w:val="24"/>
        </w:rPr>
        <w:t xml:space="preserve"> перед потребителями произведенных ими товаров (работ, услуг) и иными лицами</w:t>
      </w:r>
      <w:r>
        <w:rPr>
          <w:sz w:val="24"/>
          <w:szCs w:val="24"/>
        </w:rPr>
        <w:t>.</w:t>
      </w:r>
    </w:p>
    <w:p w14:paraId="04AE7CB7" w14:textId="351946C6" w:rsidR="00AB0A32" w:rsidRDefault="0081069D" w:rsidP="00AB0A32">
      <w:pPr>
        <w:pStyle w:val="a3"/>
        <w:numPr>
          <w:ilvl w:val="1"/>
          <w:numId w:val="1"/>
        </w:numPr>
        <w:rPr>
          <w:sz w:val="24"/>
          <w:szCs w:val="24"/>
        </w:rPr>
      </w:pPr>
      <w:proofErr w:type="gramStart"/>
      <w:r w:rsidRPr="00AB0A32">
        <w:rPr>
          <w:sz w:val="24"/>
          <w:szCs w:val="24"/>
        </w:rPr>
        <w:t>В Партнерстве</w:t>
      </w:r>
      <w:r w:rsidR="008669CB">
        <w:rPr>
          <w:sz w:val="24"/>
          <w:szCs w:val="24"/>
        </w:rPr>
        <w:t xml:space="preserve"> по решению Совета Партнерства</w:t>
      </w:r>
      <w:r w:rsidRPr="00AB0A32">
        <w:rPr>
          <w:sz w:val="24"/>
          <w:szCs w:val="24"/>
        </w:rPr>
        <w:t xml:space="preserve"> формируется система коллективного страхования, в которой Партнерство является страхователем,</w:t>
      </w:r>
      <w:r w:rsidR="00AB0A32">
        <w:rPr>
          <w:sz w:val="24"/>
          <w:szCs w:val="24"/>
        </w:rPr>
        <w:t xml:space="preserve"> Партнерство и</w:t>
      </w:r>
      <w:r w:rsidRPr="00AB0A32">
        <w:rPr>
          <w:sz w:val="24"/>
          <w:szCs w:val="24"/>
        </w:rPr>
        <w:t xml:space="preserve"> члены Партнерства – </w:t>
      </w:r>
      <w:r w:rsidR="001A5AA9" w:rsidRPr="00AB0A32">
        <w:rPr>
          <w:sz w:val="24"/>
          <w:szCs w:val="24"/>
        </w:rPr>
        <w:t>лицами, риск ответственности которых застрахован, выгодоприобретател</w:t>
      </w:r>
      <w:r w:rsidR="00DD666A">
        <w:rPr>
          <w:sz w:val="24"/>
          <w:szCs w:val="24"/>
        </w:rPr>
        <w:t xml:space="preserve">ями являются </w:t>
      </w:r>
      <w:r w:rsidR="001A5AA9" w:rsidRPr="00AB0A32">
        <w:rPr>
          <w:sz w:val="24"/>
          <w:szCs w:val="24"/>
        </w:rPr>
        <w:t>лиц</w:t>
      </w:r>
      <w:r w:rsidR="00DD666A">
        <w:rPr>
          <w:sz w:val="24"/>
          <w:szCs w:val="24"/>
        </w:rPr>
        <w:t>а</w:t>
      </w:r>
      <w:r w:rsidR="00AB0A32">
        <w:rPr>
          <w:sz w:val="24"/>
          <w:szCs w:val="24"/>
        </w:rPr>
        <w:t>, обратившиеся с обратным</w:t>
      </w:r>
      <w:r w:rsidR="00AB0A32" w:rsidRPr="00AB0A32">
        <w:rPr>
          <w:sz w:val="24"/>
          <w:szCs w:val="24"/>
        </w:rPr>
        <w:t xml:space="preserve"> требование</w:t>
      </w:r>
      <w:r w:rsidR="00AB0A32">
        <w:rPr>
          <w:sz w:val="24"/>
          <w:szCs w:val="24"/>
        </w:rPr>
        <w:t>м</w:t>
      </w:r>
      <w:r w:rsidR="00AB0A32" w:rsidRPr="00AB0A32">
        <w:rPr>
          <w:sz w:val="24"/>
          <w:szCs w:val="24"/>
        </w:rPr>
        <w:t xml:space="preserve"> (регресс</w:t>
      </w:r>
      <w:r w:rsidR="00AB0A32">
        <w:rPr>
          <w:sz w:val="24"/>
          <w:szCs w:val="24"/>
        </w:rPr>
        <w:t>ом</w:t>
      </w:r>
      <w:r w:rsidR="00AB0A32" w:rsidRPr="00AB0A32">
        <w:rPr>
          <w:sz w:val="24"/>
          <w:szCs w:val="24"/>
        </w:rPr>
        <w:t>)</w:t>
      </w:r>
      <w:r w:rsidR="00AB0A32">
        <w:rPr>
          <w:sz w:val="24"/>
          <w:szCs w:val="24"/>
        </w:rPr>
        <w:t>, которые</w:t>
      </w:r>
      <w:r w:rsidR="00DD666A">
        <w:rPr>
          <w:sz w:val="24"/>
          <w:szCs w:val="24"/>
        </w:rPr>
        <w:t xml:space="preserve"> в соответствии со статьей 60 Градостроительного кодекса Российской Федерации</w:t>
      </w:r>
      <w:r w:rsidR="00AB0A32">
        <w:rPr>
          <w:sz w:val="24"/>
          <w:szCs w:val="24"/>
        </w:rPr>
        <w:t xml:space="preserve"> возместили </w:t>
      </w:r>
      <w:r w:rsidR="00AB0A32" w:rsidRPr="00AB0A32">
        <w:rPr>
          <w:sz w:val="24"/>
          <w:szCs w:val="24"/>
        </w:rPr>
        <w:t>вред, причиненный потерпевшим вследствие разрушения, повреждения здания или сооружения либо части здания или сооружения, объекта незавершенного строительства</w:t>
      </w:r>
      <w:proofErr w:type="gramEnd"/>
      <w:r w:rsidR="00AB0A32" w:rsidRPr="00AB0A32">
        <w:rPr>
          <w:sz w:val="24"/>
          <w:szCs w:val="24"/>
        </w:rPr>
        <w:t>, вызванного недостатками работ, нарушения требований безопасности при строительстве такого объекта либо нарушения требований к обеспечению безопасной эксплуатации здания или сооружения и выплатили соответствующие компенсации сверх возмещения вреда.</w:t>
      </w:r>
    </w:p>
    <w:p w14:paraId="12F7F3EC" w14:textId="548766A5" w:rsidR="008669CB" w:rsidRDefault="008669CB" w:rsidP="00AB0A32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Имущественным интересом</w:t>
      </w:r>
      <w:r w:rsidR="002E0F6D">
        <w:rPr>
          <w:sz w:val="24"/>
          <w:szCs w:val="24"/>
        </w:rPr>
        <w:t xml:space="preserve"> при страховании в соответствии с Положением является сохранение средств компенсационного фонда возмещения вреда, а также уменьшение неблагоприятных последствий</w:t>
      </w:r>
      <w:r w:rsidR="002E0F6D" w:rsidRPr="002E0F6D">
        <w:rPr>
          <w:sz w:val="24"/>
          <w:szCs w:val="24"/>
        </w:rPr>
        <w:t xml:space="preserve"> </w:t>
      </w:r>
      <w:r w:rsidR="002E0F6D">
        <w:rPr>
          <w:sz w:val="24"/>
          <w:szCs w:val="24"/>
        </w:rPr>
        <w:t xml:space="preserve">для членов Партнерства, каковые последствия могут возникнуть вследствие недостатков </w:t>
      </w:r>
      <w:r w:rsidR="00915800">
        <w:rPr>
          <w:sz w:val="24"/>
          <w:szCs w:val="24"/>
        </w:rPr>
        <w:t>выполненных</w:t>
      </w:r>
      <w:r w:rsidR="002E0F6D">
        <w:rPr>
          <w:sz w:val="24"/>
          <w:szCs w:val="24"/>
        </w:rPr>
        <w:t xml:space="preserve"> ими </w:t>
      </w:r>
      <w:r w:rsidR="00915800">
        <w:rPr>
          <w:sz w:val="24"/>
          <w:szCs w:val="24"/>
        </w:rPr>
        <w:t>инженерных изысканий</w:t>
      </w:r>
      <w:r w:rsidR="002E0F6D">
        <w:rPr>
          <w:sz w:val="24"/>
          <w:szCs w:val="24"/>
        </w:rPr>
        <w:t xml:space="preserve"> или недостатков выполнения техническим заказчиком</w:t>
      </w:r>
      <w:r w:rsidR="003C7DB5">
        <w:rPr>
          <w:sz w:val="24"/>
          <w:szCs w:val="24"/>
        </w:rPr>
        <w:t xml:space="preserve"> – членом Партнерства</w:t>
      </w:r>
      <w:r w:rsidR="002E0F6D">
        <w:rPr>
          <w:sz w:val="24"/>
          <w:szCs w:val="24"/>
        </w:rPr>
        <w:t xml:space="preserve"> своих функций.</w:t>
      </w:r>
    </w:p>
    <w:p w14:paraId="625AA14A" w14:textId="76E03902" w:rsidR="00DD666A" w:rsidRDefault="009622AD" w:rsidP="00AB0A32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Событием, на случай </w:t>
      </w:r>
      <w:proofErr w:type="gramStart"/>
      <w:r>
        <w:rPr>
          <w:sz w:val="24"/>
          <w:szCs w:val="24"/>
        </w:rPr>
        <w:t>наступления</w:t>
      </w:r>
      <w:proofErr w:type="gramEnd"/>
      <w:r>
        <w:rPr>
          <w:sz w:val="24"/>
          <w:szCs w:val="24"/>
        </w:rPr>
        <w:t xml:space="preserve"> которого осуществляется страхование (страховым случаем) является наступление ответственности Партнерства или его членов в случаях, установленных статьей 60 Градостроительного кодекса Российской Федерации.</w:t>
      </w:r>
    </w:p>
    <w:p w14:paraId="5D528694" w14:textId="17CF6950" w:rsidR="009622AD" w:rsidRDefault="002E0F6D" w:rsidP="00AB0A32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Территорией страхования является Российская Федерация</w:t>
      </w:r>
      <w:r w:rsidR="003C7DB5">
        <w:rPr>
          <w:sz w:val="24"/>
          <w:szCs w:val="24"/>
        </w:rPr>
        <w:t xml:space="preserve"> и иные территории, на которых произошел страховой случай, если вследствие такого страхового случая </w:t>
      </w:r>
      <w:r w:rsidR="003C7DB5">
        <w:rPr>
          <w:sz w:val="24"/>
          <w:szCs w:val="24"/>
        </w:rPr>
        <w:lastRenderedPageBreak/>
        <w:t xml:space="preserve">возникает ответственность Партнерства или его членов в соответствии </w:t>
      </w:r>
      <w:proofErr w:type="gramStart"/>
      <w:r w:rsidR="003C7DB5">
        <w:rPr>
          <w:sz w:val="24"/>
          <w:szCs w:val="24"/>
        </w:rPr>
        <w:t>с</w:t>
      </w:r>
      <w:proofErr w:type="gramEnd"/>
      <w:r w:rsidR="003C7DB5">
        <w:rPr>
          <w:sz w:val="24"/>
          <w:szCs w:val="24"/>
        </w:rPr>
        <w:t xml:space="preserve"> статьей 60 Градостроительного кодекса Российской Федерации.</w:t>
      </w:r>
    </w:p>
    <w:p w14:paraId="1EBAC069" w14:textId="286A4255" w:rsidR="003C7DB5" w:rsidRDefault="003C7DB5" w:rsidP="00AB0A32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Страховая сумма определяется заключаемым Партнерством в рамках системы коллективного страхования договором страхования и составляет, как правило, не менее трехсот пятидесяти тысяч рублей по каждому страховому случаю.</w:t>
      </w:r>
    </w:p>
    <w:p w14:paraId="0F7F894E" w14:textId="08F84E90" w:rsidR="003C7DB5" w:rsidRDefault="003C7DB5" w:rsidP="00AB0A32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Срок действия договора страхования составляет не менее одного года. Договор страхования заключается, как правило, на каждый календарный год.</w:t>
      </w:r>
    </w:p>
    <w:p w14:paraId="38EA94C3" w14:textId="4349E217" w:rsidR="003C7DB5" w:rsidRDefault="003C7DB5" w:rsidP="00757D2C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Договор страхования заключается в формах, установленных законом. </w:t>
      </w:r>
      <w:r w:rsidR="00757D2C">
        <w:rPr>
          <w:sz w:val="24"/>
          <w:szCs w:val="24"/>
        </w:rPr>
        <w:t xml:space="preserve">Условия договора страхования могут определяться договором или </w:t>
      </w:r>
      <w:r w:rsidR="00757D2C" w:rsidRPr="00757D2C">
        <w:rPr>
          <w:sz w:val="24"/>
          <w:szCs w:val="24"/>
        </w:rPr>
        <w:t>в стандартных правилах страхования соответствующего вида, принятых, одобренных или утвержденных страховщиком либо объединением страховщиков (правилах страхования).</w:t>
      </w:r>
    </w:p>
    <w:p w14:paraId="04736DEB" w14:textId="09173D6D" w:rsidR="00757D2C" w:rsidRDefault="00757D2C" w:rsidP="00757D2C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Партнерство вправе по решению Совета Партнерства формировать систему страхования ответственности </w:t>
      </w:r>
      <w:r w:rsidR="00054941">
        <w:rPr>
          <w:sz w:val="24"/>
          <w:szCs w:val="24"/>
        </w:rPr>
        <w:t xml:space="preserve">членов </w:t>
      </w:r>
      <w:r w:rsidR="008E61E1">
        <w:rPr>
          <w:sz w:val="24"/>
          <w:szCs w:val="24"/>
        </w:rPr>
        <w:t>Партнерства</w:t>
      </w:r>
      <w:r>
        <w:rPr>
          <w:sz w:val="24"/>
          <w:szCs w:val="24"/>
        </w:rPr>
        <w:t xml:space="preserve"> </w:t>
      </w:r>
      <w:r w:rsidR="00054941">
        <w:rPr>
          <w:sz w:val="24"/>
          <w:szCs w:val="24"/>
        </w:rPr>
        <w:t xml:space="preserve">на случай </w:t>
      </w:r>
      <w:r>
        <w:rPr>
          <w:sz w:val="24"/>
          <w:szCs w:val="24"/>
        </w:rPr>
        <w:t>наступления</w:t>
      </w:r>
      <w:r w:rsidR="00054941">
        <w:rPr>
          <w:sz w:val="24"/>
          <w:szCs w:val="24"/>
        </w:rPr>
        <w:t xml:space="preserve"> их</w:t>
      </w:r>
      <w:r w:rsidR="008E61E1">
        <w:rPr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 в соответствии со статьей 60.1 Градостроительно</w:t>
      </w:r>
      <w:r w:rsidR="008E61E1">
        <w:rPr>
          <w:sz w:val="24"/>
          <w:szCs w:val="24"/>
        </w:rPr>
        <w:t>го кодекса Российской Федерации</w:t>
      </w:r>
      <w:r>
        <w:rPr>
          <w:sz w:val="24"/>
          <w:szCs w:val="24"/>
        </w:rPr>
        <w:t>.</w:t>
      </w:r>
    </w:p>
    <w:p w14:paraId="441FD826" w14:textId="2A55FE15" w:rsidR="00E71167" w:rsidRDefault="00724B77" w:rsidP="00757D2C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Правила, установленные Положением для страхования ответственности, которая наступает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статьей 60 Градостроительного кодекса Российской Федерации</w:t>
      </w:r>
      <w:r w:rsidR="00E224BE">
        <w:rPr>
          <w:sz w:val="24"/>
          <w:szCs w:val="24"/>
        </w:rPr>
        <w:t xml:space="preserve"> (в том числе правила о страховой сумме, территории страхования, сроке страхования)</w:t>
      </w:r>
      <w:r>
        <w:rPr>
          <w:sz w:val="24"/>
          <w:szCs w:val="24"/>
        </w:rPr>
        <w:t>, распространяются на страховани</w:t>
      </w:r>
      <w:r w:rsidR="008E61E1">
        <w:rPr>
          <w:sz w:val="24"/>
          <w:szCs w:val="24"/>
        </w:rPr>
        <w:t>е</w:t>
      </w:r>
      <w:r>
        <w:rPr>
          <w:sz w:val="24"/>
          <w:szCs w:val="24"/>
        </w:rPr>
        <w:t xml:space="preserve"> ответственности, возникающей в соответствии с статьей 60.1 Градостроительного кодекса Российской Федерации, поскольку иное не установлено Положением</w:t>
      </w:r>
      <w:r w:rsidR="00054941">
        <w:rPr>
          <w:sz w:val="24"/>
          <w:szCs w:val="24"/>
        </w:rPr>
        <w:t xml:space="preserve"> и законодательством Российской Федерации</w:t>
      </w:r>
      <w:r>
        <w:rPr>
          <w:sz w:val="24"/>
          <w:szCs w:val="24"/>
        </w:rPr>
        <w:t>.</w:t>
      </w:r>
    </w:p>
    <w:p w14:paraId="34F32823" w14:textId="009757FF" w:rsidR="00AB0A32" w:rsidRDefault="00054941" w:rsidP="00E224BE">
      <w:pPr>
        <w:pStyle w:val="a3"/>
        <w:numPr>
          <w:ilvl w:val="1"/>
          <w:numId w:val="1"/>
        </w:numPr>
        <w:rPr>
          <w:sz w:val="24"/>
          <w:szCs w:val="24"/>
        </w:rPr>
      </w:pPr>
      <w:r w:rsidRPr="00E224BE">
        <w:rPr>
          <w:sz w:val="24"/>
          <w:szCs w:val="24"/>
        </w:rPr>
        <w:t>Члены Партнерства вправе застраховать</w:t>
      </w:r>
      <w:r w:rsidR="00724B77" w:rsidRPr="00E224BE">
        <w:rPr>
          <w:sz w:val="24"/>
          <w:szCs w:val="24"/>
        </w:rPr>
        <w:t xml:space="preserve"> риск</w:t>
      </w:r>
      <w:r w:rsidR="008E61E1" w:rsidRPr="00E224BE">
        <w:rPr>
          <w:sz w:val="24"/>
          <w:szCs w:val="24"/>
        </w:rPr>
        <w:t xml:space="preserve"> наступления </w:t>
      </w:r>
      <w:r w:rsidR="00724B77" w:rsidRPr="00E224BE">
        <w:rPr>
          <w:sz w:val="24"/>
          <w:szCs w:val="24"/>
        </w:rPr>
        <w:t xml:space="preserve">ответственности, которая может наступить </w:t>
      </w:r>
      <w:r w:rsidR="008E61E1" w:rsidRPr="00E224BE">
        <w:rPr>
          <w:sz w:val="24"/>
          <w:szCs w:val="24"/>
        </w:rPr>
        <w:t>в случаях, установленных статьей 60.1 Градостроительного кодекса Российской Федерации</w:t>
      </w:r>
      <w:r w:rsidR="00724B77" w:rsidRPr="00E224BE">
        <w:rPr>
          <w:sz w:val="24"/>
          <w:szCs w:val="24"/>
        </w:rPr>
        <w:t>.</w:t>
      </w:r>
      <w:r w:rsidRPr="00E224BE">
        <w:rPr>
          <w:sz w:val="24"/>
          <w:szCs w:val="24"/>
        </w:rPr>
        <w:t xml:space="preserve"> </w:t>
      </w:r>
      <w:r w:rsidR="00E224BE" w:rsidRPr="00E224BE">
        <w:rPr>
          <w:sz w:val="24"/>
          <w:szCs w:val="24"/>
        </w:rPr>
        <w:t xml:space="preserve">Событием, на случай </w:t>
      </w:r>
      <w:proofErr w:type="gramStart"/>
      <w:r w:rsidR="00E224BE" w:rsidRPr="00E224BE">
        <w:rPr>
          <w:sz w:val="24"/>
          <w:szCs w:val="24"/>
        </w:rPr>
        <w:t>наступления</w:t>
      </w:r>
      <w:proofErr w:type="gramEnd"/>
      <w:r w:rsidR="00E224BE" w:rsidRPr="00E224BE">
        <w:rPr>
          <w:sz w:val="24"/>
          <w:szCs w:val="24"/>
        </w:rPr>
        <w:t xml:space="preserve"> которого осуществляется страхование (страховым случаем)</w:t>
      </w:r>
      <w:r w:rsidR="00E224BE">
        <w:rPr>
          <w:sz w:val="24"/>
          <w:szCs w:val="24"/>
        </w:rPr>
        <w:t>,</w:t>
      </w:r>
      <w:r w:rsidR="00E224BE" w:rsidRPr="00E224BE">
        <w:rPr>
          <w:sz w:val="24"/>
          <w:szCs w:val="24"/>
        </w:rPr>
        <w:t xml:space="preserve"> является наступление ответственности </w:t>
      </w:r>
      <w:r w:rsidR="00E224BE">
        <w:rPr>
          <w:sz w:val="24"/>
          <w:szCs w:val="24"/>
        </w:rPr>
        <w:t>члена Партнерства</w:t>
      </w:r>
      <w:r w:rsidR="00E224BE" w:rsidRPr="00E224BE">
        <w:rPr>
          <w:sz w:val="24"/>
          <w:szCs w:val="24"/>
        </w:rPr>
        <w:t xml:space="preserve"> </w:t>
      </w:r>
      <w:r w:rsidR="00E224BE">
        <w:rPr>
          <w:sz w:val="24"/>
          <w:szCs w:val="24"/>
        </w:rPr>
        <w:t xml:space="preserve">вследствие </w:t>
      </w:r>
      <w:r w:rsidR="00E224BE" w:rsidRPr="00E224BE">
        <w:rPr>
          <w:sz w:val="24"/>
          <w:szCs w:val="24"/>
        </w:rPr>
        <w:t xml:space="preserve">неисполнения или ненадлежащего исполнения </w:t>
      </w:r>
      <w:r w:rsidR="00E224BE">
        <w:rPr>
          <w:sz w:val="24"/>
          <w:szCs w:val="24"/>
        </w:rPr>
        <w:t>им</w:t>
      </w:r>
      <w:r w:rsidR="00E224BE" w:rsidRPr="00E224BE">
        <w:rPr>
          <w:sz w:val="24"/>
          <w:szCs w:val="24"/>
        </w:rPr>
        <w:t xml:space="preserve"> обязательств по договору подряда на </w:t>
      </w:r>
      <w:r w:rsidR="00915800">
        <w:rPr>
          <w:sz w:val="24"/>
          <w:szCs w:val="24"/>
        </w:rPr>
        <w:t>выполнение инженерных изысканий</w:t>
      </w:r>
      <w:r w:rsidR="00E224BE">
        <w:rPr>
          <w:sz w:val="24"/>
          <w:szCs w:val="24"/>
        </w:rPr>
        <w:t>, заключенному с применением конкурентных способов</w:t>
      </w:r>
      <w:r w:rsidR="008B7FE0">
        <w:rPr>
          <w:sz w:val="24"/>
          <w:szCs w:val="24"/>
        </w:rPr>
        <w:t>, а также вследствие неисполнения или ненадлежащего исполнения таким членом функций технического заказчика по договору, заключенному с использованием конкурентных способов</w:t>
      </w:r>
      <w:r w:rsidR="00E224BE">
        <w:rPr>
          <w:sz w:val="24"/>
          <w:szCs w:val="24"/>
        </w:rPr>
        <w:t xml:space="preserve">. Под договорами, заключенными с применением конкурентных способов, понимаются договоры, для заключения которых законодательством Российской Федерации установлено требование о внесении </w:t>
      </w:r>
      <w:r w:rsidR="008B7FE0">
        <w:rPr>
          <w:sz w:val="24"/>
          <w:szCs w:val="24"/>
        </w:rPr>
        <w:t>взноса</w:t>
      </w:r>
      <w:r w:rsidR="00E224BE">
        <w:rPr>
          <w:sz w:val="24"/>
          <w:szCs w:val="24"/>
        </w:rPr>
        <w:t xml:space="preserve"> в компенсационный фонд обеспечения договорных обязательств</w:t>
      </w:r>
      <w:r w:rsidR="008B7FE0">
        <w:rPr>
          <w:sz w:val="24"/>
          <w:szCs w:val="24"/>
        </w:rPr>
        <w:t xml:space="preserve"> саморегулируемой организации</w:t>
      </w:r>
      <w:r w:rsidR="00E224BE">
        <w:rPr>
          <w:sz w:val="24"/>
          <w:szCs w:val="24"/>
        </w:rPr>
        <w:t>.</w:t>
      </w:r>
    </w:p>
    <w:p w14:paraId="1175F8C0" w14:textId="063A78E4" w:rsidR="00E224BE" w:rsidRPr="00E224BE" w:rsidRDefault="00E224BE" w:rsidP="00E224BE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Партнерство вправе </w:t>
      </w:r>
      <w:r w:rsidR="008B7FE0">
        <w:rPr>
          <w:sz w:val="24"/>
          <w:szCs w:val="24"/>
        </w:rPr>
        <w:t xml:space="preserve">по решению Совета Партнерства </w:t>
      </w:r>
      <w:r>
        <w:rPr>
          <w:sz w:val="24"/>
          <w:szCs w:val="24"/>
        </w:rPr>
        <w:t xml:space="preserve">при страховании членами Партнерства </w:t>
      </w:r>
      <w:r w:rsidR="008B7FE0">
        <w:rPr>
          <w:sz w:val="24"/>
          <w:szCs w:val="24"/>
        </w:rPr>
        <w:t>своей ответственности в соответствии с п. 2.13 Положения реализовывать права и исполнять обязанности в соответствии с общими положениями об обязательствах, предусмотренны</w:t>
      </w:r>
      <w:r w:rsidR="00643EC6">
        <w:rPr>
          <w:sz w:val="24"/>
          <w:szCs w:val="24"/>
        </w:rPr>
        <w:t>ми</w:t>
      </w:r>
      <w:r w:rsidR="008B7FE0">
        <w:rPr>
          <w:sz w:val="24"/>
          <w:szCs w:val="24"/>
        </w:rPr>
        <w:t xml:space="preserve"> гражданским законодательством Российской Федерации, в том числе в части исполнения обязатель</w:t>
      </w:r>
      <w:proofErr w:type="gramStart"/>
      <w:r w:rsidR="008B7FE0">
        <w:rPr>
          <w:sz w:val="24"/>
          <w:szCs w:val="24"/>
        </w:rPr>
        <w:t>ств тр</w:t>
      </w:r>
      <w:proofErr w:type="gramEnd"/>
      <w:r w:rsidR="008B7FE0">
        <w:rPr>
          <w:sz w:val="24"/>
          <w:szCs w:val="24"/>
        </w:rPr>
        <w:t>етьим лицом.</w:t>
      </w:r>
    </w:p>
    <w:p w14:paraId="6D9C9D39" w14:textId="77777777" w:rsidR="008D7509" w:rsidRPr="00177056" w:rsidRDefault="008D7509" w:rsidP="008D7509">
      <w:pPr>
        <w:pStyle w:val="a3"/>
        <w:tabs>
          <w:tab w:val="left" w:pos="709"/>
        </w:tabs>
        <w:ind w:left="0" w:firstLine="0"/>
        <w:rPr>
          <w:sz w:val="24"/>
          <w:szCs w:val="24"/>
        </w:rPr>
      </w:pPr>
    </w:p>
    <w:p w14:paraId="6D9C9D3A" w14:textId="77777777" w:rsidR="00296385" w:rsidRPr="00177056" w:rsidRDefault="008D7509" w:rsidP="008D7509">
      <w:pPr>
        <w:pStyle w:val="a3"/>
        <w:numPr>
          <w:ilvl w:val="0"/>
          <w:numId w:val="1"/>
        </w:numPr>
        <w:tabs>
          <w:tab w:val="left" w:pos="426"/>
        </w:tabs>
        <w:jc w:val="center"/>
        <w:rPr>
          <w:b/>
          <w:sz w:val="24"/>
          <w:szCs w:val="24"/>
        </w:rPr>
      </w:pPr>
      <w:r w:rsidRPr="00177056">
        <w:rPr>
          <w:b/>
          <w:sz w:val="24"/>
          <w:szCs w:val="24"/>
        </w:rPr>
        <w:t>Заключительные положения</w:t>
      </w:r>
    </w:p>
    <w:p w14:paraId="6D9C9D3B" w14:textId="77777777" w:rsidR="008D7509" w:rsidRPr="00177056" w:rsidRDefault="008D7509" w:rsidP="008D7509">
      <w:pPr>
        <w:pStyle w:val="a3"/>
        <w:tabs>
          <w:tab w:val="left" w:pos="426"/>
        </w:tabs>
        <w:ind w:left="0" w:firstLine="0"/>
        <w:rPr>
          <w:b/>
          <w:sz w:val="24"/>
          <w:szCs w:val="24"/>
        </w:rPr>
      </w:pPr>
    </w:p>
    <w:p w14:paraId="6D9C9D3C" w14:textId="45AD362E" w:rsidR="008D7509" w:rsidRDefault="00BC6656" w:rsidP="00BC6656">
      <w:pPr>
        <w:pStyle w:val="a3"/>
        <w:numPr>
          <w:ilvl w:val="1"/>
          <w:numId w:val="1"/>
        </w:numPr>
        <w:rPr>
          <w:sz w:val="24"/>
          <w:szCs w:val="24"/>
        </w:rPr>
      </w:pPr>
      <w:r w:rsidRPr="00177056">
        <w:rPr>
          <w:sz w:val="24"/>
          <w:szCs w:val="24"/>
        </w:rPr>
        <w:t>Положение вступает в силу с 01 июля 2017 года.</w:t>
      </w:r>
    </w:p>
    <w:p w14:paraId="21046DEF" w14:textId="4A7859F6" w:rsidR="00937894" w:rsidRPr="00177056" w:rsidRDefault="00937894" w:rsidP="00BC6656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Правила Положения применяются, поскольку законодательством Российской Федерации и решением Совета Партнерства не предусмотрено иное.</w:t>
      </w:r>
    </w:p>
    <w:p w14:paraId="6D9C9D3D" w14:textId="77777777" w:rsidR="00BC6656" w:rsidRPr="00177056" w:rsidRDefault="00BC6656" w:rsidP="00BC6656">
      <w:pPr>
        <w:pStyle w:val="a3"/>
        <w:numPr>
          <w:ilvl w:val="1"/>
          <w:numId w:val="1"/>
        </w:numPr>
        <w:rPr>
          <w:sz w:val="24"/>
          <w:szCs w:val="24"/>
        </w:rPr>
      </w:pPr>
      <w:r w:rsidRPr="00177056">
        <w:rPr>
          <w:sz w:val="24"/>
          <w:szCs w:val="24"/>
        </w:rPr>
        <w:lastRenderedPageBreak/>
        <w:t>В случае изменения наименования или организационно-правовой формы Партнерства Положение сохраняет свою силу и применяется в полном объеме.</w:t>
      </w:r>
    </w:p>
    <w:p w14:paraId="6D9C9D3F" w14:textId="77777777" w:rsidR="00A124DF" w:rsidRPr="00177056" w:rsidRDefault="00A124DF" w:rsidP="00A124DF">
      <w:pPr>
        <w:pStyle w:val="a3"/>
        <w:tabs>
          <w:tab w:val="left" w:pos="709"/>
        </w:tabs>
        <w:ind w:left="0" w:firstLine="0"/>
        <w:rPr>
          <w:sz w:val="24"/>
          <w:szCs w:val="24"/>
        </w:rPr>
      </w:pPr>
    </w:p>
    <w:p w14:paraId="6D9C9D40" w14:textId="77777777" w:rsidR="00BC6656" w:rsidRPr="00177056" w:rsidRDefault="00BC6656" w:rsidP="00A124DF">
      <w:pPr>
        <w:pStyle w:val="a3"/>
        <w:tabs>
          <w:tab w:val="left" w:pos="709"/>
        </w:tabs>
        <w:ind w:left="0" w:firstLine="0"/>
        <w:rPr>
          <w:sz w:val="24"/>
          <w:szCs w:val="24"/>
        </w:rPr>
      </w:pPr>
    </w:p>
    <w:p w14:paraId="6D9C9D41" w14:textId="77777777" w:rsidR="00BC6656" w:rsidRPr="00177056" w:rsidRDefault="00BC6656" w:rsidP="00A124DF">
      <w:pPr>
        <w:pStyle w:val="a3"/>
        <w:tabs>
          <w:tab w:val="left" w:pos="709"/>
        </w:tabs>
        <w:ind w:left="0" w:firstLine="0"/>
        <w:rPr>
          <w:sz w:val="24"/>
          <w:szCs w:val="24"/>
        </w:rPr>
      </w:pPr>
    </w:p>
    <w:sectPr w:rsidR="00BC6656" w:rsidRPr="00177056" w:rsidSect="00937894">
      <w:headerReference w:type="default" r:id="rId9"/>
      <w:footerReference w:type="default" r:id="rId10"/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E92FA" w14:textId="77777777" w:rsidR="008B7FE0" w:rsidRDefault="008B7FE0" w:rsidP="00C44827">
      <w:pPr>
        <w:spacing w:line="240" w:lineRule="auto"/>
      </w:pPr>
      <w:r>
        <w:separator/>
      </w:r>
    </w:p>
  </w:endnote>
  <w:endnote w:type="continuationSeparator" w:id="0">
    <w:p w14:paraId="702EB4EC" w14:textId="77777777" w:rsidR="008B7FE0" w:rsidRDefault="008B7FE0" w:rsidP="00C44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2165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D9C9D77" w14:textId="1D4BB77A" w:rsidR="008B7FE0" w:rsidRPr="00C44827" w:rsidRDefault="008B7FE0">
        <w:pPr>
          <w:pStyle w:val="a6"/>
          <w:jc w:val="right"/>
          <w:rPr>
            <w:sz w:val="24"/>
            <w:szCs w:val="24"/>
          </w:rPr>
        </w:pPr>
        <w:r w:rsidRPr="00C44827">
          <w:rPr>
            <w:sz w:val="24"/>
            <w:szCs w:val="24"/>
          </w:rPr>
          <w:fldChar w:fldCharType="begin"/>
        </w:r>
        <w:r w:rsidRPr="00C44827">
          <w:rPr>
            <w:sz w:val="24"/>
            <w:szCs w:val="24"/>
          </w:rPr>
          <w:instrText>PAGE   \* MERGEFORMAT</w:instrText>
        </w:r>
        <w:r w:rsidRPr="00C44827">
          <w:rPr>
            <w:sz w:val="24"/>
            <w:szCs w:val="24"/>
          </w:rPr>
          <w:fldChar w:fldCharType="separate"/>
        </w:r>
        <w:r w:rsidR="00937894">
          <w:rPr>
            <w:noProof/>
            <w:sz w:val="24"/>
            <w:szCs w:val="24"/>
          </w:rPr>
          <w:t>4</w:t>
        </w:r>
        <w:r w:rsidRPr="00C44827">
          <w:rPr>
            <w:sz w:val="24"/>
            <w:szCs w:val="24"/>
          </w:rPr>
          <w:fldChar w:fldCharType="end"/>
        </w:r>
      </w:p>
    </w:sdtContent>
  </w:sdt>
  <w:p w14:paraId="6D9C9D78" w14:textId="77777777" w:rsidR="008B7FE0" w:rsidRDefault="008B7FE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18120"/>
      <w:docPartObj>
        <w:docPartGallery w:val="Page Numbers (Bottom of Page)"/>
        <w:docPartUnique/>
      </w:docPartObj>
    </w:sdtPr>
    <w:sdtEndPr/>
    <w:sdtContent>
      <w:p w14:paraId="2A338FB1" w14:textId="48ABDD8E" w:rsidR="00937894" w:rsidRDefault="00937894">
        <w:pPr>
          <w:pStyle w:val="a6"/>
          <w:jc w:val="right"/>
        </w:pPr>
        <w:r w:rsidRPr="00937894">
          <w:rPr>
            <w:sz w:val="24"/>
            <w:szCs w:val="24"/>
          </w:rPr>
          <w:fldChar w:fldCharType="begin"/>
        </w:r>
        <w:r w:rsidRPr="00937894">
          <w:rPr>
            <w:sz w:val="24"/>
            <w:szCs w:val="24"/>
          </w:rPr>
          <w:instrText>PAGE   \* MERGEFORMAT</w:instrText>
        </w:r>
        <w:r w:rsidRPr="00937894">
          <w:rPr>
            <w:sz w:val="24"/>
            <w:szCs w:val="24"/>
          </w:rPr>
          <w:fldChar w:fldCharType="separate"/>
        </w:r>
        <w:r w:rsidR="00915800">
          <w:rPr>
            <w:noProof/>
            <w:sz w:val="24"/>
            <w:szCs w:val="24"/>
          </w:rPr>
          <w:t>2</w:t>
        </w:r>
        <w:r w:rsidRPr="00937894">
          <w:rPr>
            <w:sz w:val="24"/>
            <w:szCs w:val="24"/>
          </w:rPr>
          <w:fldChar w:fldCharType="end"/>
        </w:r>
      </w:p>
    </w:sdtContent>
  </w:sdt>
  <w:p w14:paraId="6D9C9D7C" w14:textId="77777777" w:rsidR="008B7FE0" w:rsidRDefault="008B7F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96FA1" w14:textId="77777777" w:rsidR="008B7FE0" w:rsidRDefault="008B7FE0" w:rsidP="00C44827">
      <w:pPr>
        <w:spacing w:line="240" w:lineRule="auto"/>
      </w:pPr>
      <w:r>
        <w:separator/>
      </w:r>
    </w:p>
  </w:footnote>
  <w:footnote w:type="continuationSeparator" w:id="0">
    <w:p w14:paraId="18EDD559" w14:textId="77777777" w:rsidR="008B7FE0" w:rsidRDefault="008B7FE0" w:rsidP="00C448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9D79" w14:textId="77777777" w:rsidR="008B7FE0" w:rsidRDefault="008B7FE0" w:rsidP="00EE34BA">
    <w:pPr>
      <w:pStyle w:val="a4"/>
      <w:jc w:val="right"/>
      <w:rPr>
        <w:color w:val="808080" w:themeColor="background1" w:themeShade="80"/>
        <w:sz w:val="20"/>
        <w:szCs w:val="20"/>
      </w:rPr>
    </w:pPr>
  </w:p>
  <w:p w14:paraId="6D9C9D7A" w14:textId="77777777" w:rsidR="008B7FE0" w:rsidRPr="00EE34BA" w:rsidRDefault="008B7FE0" w:rsidP="00EE34BA">
    <w:pPr>
      <w:pStyle w:val="a4"/>
      <w:jc w:val="right"/>
      <w:rPr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77618"/>
    <w:multiLevelType w:val="multilevel"/>
    <w:tmpl w:val="CCB82E3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0" w:hanging="17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9D66119"/>
    <w:multiLevelType w:val="multilevel"/>
    <w:tmpl w:val="CCB82E3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0" w:hanging="17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7D"/>
    <w:rsid w:val="0002538E"/>
    <w:rsid w:val="00045470"/>
    <w:rsid w:val="00054941"/>
    <w:rsid w:val="00065F0C"/>
    <w:rsid w:val="00090790"/>
    <w:rsid w:val="000A6E17"/>
    <w:rsid w:val="000F2C5D"/>
    <w:rsid w:val="00137507"/>
    <w:rsid w:val="0014684E"/>
    <w:rsid w:val="00177056"/>
    <w:rsid w:val="0019587A"/>
    <w:rsid w:val="001A5AA9"/>
    <w:rsid w:val="001B221D"/>
    <w:rsid w:val="001C67B2"/>
    <w:rsid w:val="00214534"/>
    <w:rsid w:val="00225AE6"/>
    <w:rsid w:val="00266926"/>
    <w:rsid w:val="00296385"/>
    <w:rsid w:val="002E0F6D"/>
    <w:rsid w:val="002F2E4F"/>
    <w:rsid w:val="003250F8"/>
    <w:rsid w:val="003500DC"/>
    <w:rsid w:val="003518DF"/>
    <w:rsid w:val="003A496B"/>
    <w:rsid w:val="003C484B"/>
    <w:rsid w:val="003C6332"/>
    <w:rsid w:val="003C7DB5"/>
    <w:rsid w:val="003D6344"/>
    <w:rsid w:val="00444090"/>
    <w:rsid w:val="00457D3A"/>
    <w:rsid w:val="004B1584"/>
    <w:rsid w:val="004D7482"/>
    <w:rsid w:val="0050224E"/>
    <w:rsid w:val="0051098E"/>
    <w:rsid w:val="00535174"/>
    <w:rsid w:val="005A0A0A"/>
    <w:rsid w:val="005E3E7D"/>
    <w:rsid w:val="00611B42"/>
    <w:rsid w:val="00631661"/>
    <w:rsid w:val="00641FF1"/>
    <w:rsid w:val="00643EC6"/>
    <w:rsid w:val="006B08D5"/>
    <w:rsid w:val="006C2D26"/>
    <w:rsid w:val="006C3891"/>
    <w:rsid w:val="00724B77"/>
    <w:rsid w:val="00757D2C"/>
    <w:rsid w:val="007B0562"/>
    <w:rsid w:val="007B2CA7"/>
    <w:rsid w:val="007C348E"/>
    <w:rsid w:val="007D32DD"/>
    <w:rsid w:val="0081069D"/>
    <w:rsid w:val="00856CC1"/>
    <w:rsid w:val="00864538"/>
    <w:rsid w:val="008669CB"/>
    <w:rsid w:val="00870216"/>
    <w:rsid w:val="008A416F"/>
    <w:rsid w:val="008B7FE0"/>
    <w:rsid w:val="008C1EDF"/>
    <w:rsid w:val="008D7509"/>
    <w:rsid w:val="008E61E1"/>
    <w:rsid w:val="00915800"/>
    <w:rsid w:val="009170B3"/>
    <w:rsid w:val="00937894"/>
    <w:rsid w:val="009622AD"/>
    <w:rsid w:val="0096604D"/>
    <w:rsid w:val="009872CA"/>
    <w:rsid w:val="00A124DF"/>
    <w:rsid w:val="00A4754E"/>
    <w:rsid w:val="00A53303"/>
    <w:rsid w:val="00A71CF4"/>
    <w:rsid w:val="00AB0A32"/>
    <w:rsid w:val="00B162F0"/>
    <w:rsid w:val="00B77A21"/>
    <w:rsid w:val="00BC6656"/>
    <w:rsid w:val="00C01ADC"/>
    <w:rsid w:val="00C13A6E"/>
    <w:rsid w:val="00C256C4"/>
    <w:rsid w:val="00C44827"/>
    <w:rsid w:val="00C96C48"/>
    <w:rsid w:val="00CD7693"/>
    <w:rsid w:val="00CE73BF"/>
    <w:rsid w:val="00D1491E"/>
    <w:rsid w:val="00DD360A"/>
    <w:rsid w:val="00DD5799"/>
    <w:rsid w:val="00DD666A"/>
    <w:rsid w:val="00DF49FA"/>
    <w:rsid w:val="00E224BE"/>
    <w:rsid w:val="00E267CF"/>
    <w:rsid w:val="00E40602"/>
    <w:rsid w:val="00E71167"/>
    <w:rsid w:val="00E85079"/>
    <w:rsid w:val="00EC3F39"/>
    <w:rsid w:val="00EE34BA"/>
    <w:rsid w:val="00F57012"/>
    <w:rsid w:val="00F86F2E"/>
    <w:rsid w:val="00F935E7"/>
    <w:rsid w:val="00FD52D5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9C9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07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E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482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82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4482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82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958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5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07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E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482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82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4482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82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958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5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Ходус</dc:creator>
  <cp:lastModifiedBy>Ходус</cp:lastModifiedBy>
  <cp:revision>2</cp:revision>
  <cp:lastPrinted>2017-06-14T14:26:00Z</cp:lastPrinted>
  <dcterms:created xsi:type="dcterms:W3CDTF">2017-06-22T08:43:00Z</dcterms:created>
  <dcterms:modified xsi:type="dcterms:W3CDTF">2017-06-22T08:43:00Z</dcterms:modified>
</cp:coreProperties>
</file>