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7E" w:rsidRPr="00DA088A" w:rsidRDefault="00A80A7E" w:rsidP="00A80A7E">
      <w:pPr>
        <w:pStyle w:val="a4"/>
        <w:ind w:left="-851" w:right="-28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_12"/>
      <w:r>
        <w:rPr>
          <w:rFonts w:ascii="Times New Roman" w:hAnsi="Times New Roman" w:cs="Times New Roman"/>
          <w:b/>
          <w:bCs/>
          <w:noProof/>
          <w:sz w:val="32"/>
          <w:szCs w:val="32"/>
        </w:rPr>
        <w:t>УСТАВ</w:t>
      </w:r>
    </w:p>
    <w:p w:rsidR="00A80A7E" w:rsidRDefault="00A80A7E" w:rsidP="00A80A7E">
      <w:pPr>
        <w:pStyle w:val="a4"/>
        <w:ind w:left="-851" w:right="-284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Некоммерческого партнерства </w:t>
      </w:r>
    </w:p>
    <w:p w:rsidR="00A80A7E" w:rsidRPr="00941CF0" w:rsidRDefault="00A80A7E" w:rsidP="00A80A7E">
      <w:pPr>
        <w:pStyle w:val="a4"/>
        <w:ind w:left="-851" w:right="-284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t>саморегулируемой организации</w:t>
      </w:r>
    </w:p>
    <w:p w:rsidR="00A80A7E" w:rsidRDefault="00A80A7E" w:rsidP="00A80A7E">
      <w:pPr>
        <w:pStyle w:val="a4"/>
        <w:ind w:left="-851" w:right="-284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«Объединение изыскателей для проектирования </w:t>
      </w:r>
    </w:p>
    <w:p w:rsidR="00A80A7E" w:rsidRPr="00941CF0" w:rsidRDefault="00A80A7E" w:rsidP="00A80A7E">
      <w:pPr>
        <w:pStyle w:val="a4"/>
        <w:ind w:left="-851" w:right="-284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и строительства объектов </w:t>
      </w: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br/>
        <w:t xml:space="preserve">топливно-энергетического комплекса </w:t>
      </w:r>
      <w:r w:rsidRPr="00941CF0">
        <w:rPr>
          <w:rFonts w:ascii="Times New Roman" w:hAnsi="Times New Roman" w:cs="Times New Roman"/>
          <w:b/>
          <w:bCs/>
          <w:noProof/>
          <w:sz w:val="32"/>
          <w:szCs w:val="32"/>
        </w:rPr>
        <w:br/>
        <w:t>«Нефтегазизыскания-Альянс»</w:t>
      </w:r>
    </w:p>
    <w:p w:rsidR="00A80A7E" w:rsidRPr="00941CF0" w:rsidRDefault="00A80A7E" w:rsidP="00A80A7E">
      <w:pPr>
        <w:ind w:left="-851" w:right="-284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1CF0" w:rsidDel="008D6F99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Pr="00941CF0">
        <w:rPr>
          <w:rFonts w:ascii="Times New Roman" w:hAnsi="Times New Roman" w:cs="Times New Roman"/>
          <w:b/>
          <w:sz w:val="32"/>
          <w:szCs w:val="32"/>
        </w:rPr>
        <w:t>(новая редакция</w:t>
      </w:r>
      <w:r w:rsidR="00A27BD4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A27BD4">
        <w:rPr>
          <w:rFonts w:ascii="Times New Roman" w:hAnsi="Times New Roman" w:cs="Times New Roman"/>
          <w:b/>
          <w:sz w:val="32"/>
          <w:szCs w:val="32"/>
        </w:rPr>
        <w:t>20.03.2014</w:t>
      </w:r>
      <w:r w:rsidRPr="00941CF0">
        <w:rPr>
          <w:rFonts w:ascii="Times New Roman" w:hAnsi="Times New Roman" w:cs="Times New Roman"/>
          <w:b/>
          <w:sz w:val="32"/>
          <w:szCs w:val="32"/>
        </w:rPr>
        <w:t>)</w:t>
      </w:r>
    </w:p>
    <w:p w:rsidR="00A80A7E" w:rsidRPr="00045AE1" w:rsidRDefault="00A80A7E" w:rsidP="00A80A7E">
      <w:pPr>
        <w:pStyle w:val="a3"/>
        <w:jc w:val="center"/>
        <w:rPr>
          <w:b/>
        </w:rPr>
      </w:pPr>
      <w:bookmarkStart w:id="1" w:name="_GoBack"/>
      <w:bookmarkEnd w:id="1"/>
      <w:r w:rsidRPr="00045AE1">
        <w:rPr>
          <w:b/>
        </w:rPr>
        <w:t xml:space="preserve">12. СПЕЦИАЛИЗИРОВАННЫЕ ОРГАНЫ </w:t>
      </w:r>
      <w:bookmarkEnd w:id="0"/>
      <w:r w:rsidRPr="00045AE1">
        <w:rPr>
          <w:b/>
        </w:rPr>
        <w:t>ПАРТНЕРСТВА</w:t>
      </w:r>
    </w:p>
    <w:p w:rsidR="00A80A7E" w:rsidRPr="00045AE1" w:rsidRDefault="00A80A7E" w:rsidP="00A80A7E">
      <w:pPr>
        <w:pStyle w:val="a3"/>
        <w:tabs>
          <w:tab w:val="left" w:pos="900"/>
        </w:tabs>
        <w:spacing w:before="0" w:beforeAutospacing="0" w:after="0" w:afterAutospacing="0"/>
        <w:ind w:firstLine="540"/>
        <w:jc w:val="both"/>
      </w:pPr>
      <w:r w:rsidRPr="00045AE1">
        <w:t>12.1. Виды и компетенция специализированных органов Партнерства устанавливаются в соответствии с требованиями действующего законодательства Российской Федерации и  внутренними документами Партнерства.</w:t>
      </w:r>
    </w:p>
    <w:p w:rsidR="00A80A7E" w:rsidRPr="00045AE1" w:rsidRDefault="00A80A7E" w:rsidP="00A80A7E">
      <w:pPr>
        <w:pStyle w:val="a3"/>
        <w:tabs>
          <w:tab w:val="left" w:pos="900"/>
        </w:tabs>
        <w:spacing w:before="0" w:beforeAutospacing="0" w:after="0" w:afterAutospacing="0"/>
        <w:ind w:firstLine="540"/>
        <w:jc w:val="both"/>
      </w:pPr>
      <w:r w:rsidRPr="00045AE1">
        <w:t xml:space="preserve">12.2. Специализированные органы создаются Советом Партнерства, они структурно обособлены и осуществляют свои функции самостоятельно. </w:t>
      </w:r>
    </w:p>
    <w:p w:rsidR="00A80A7E" w:rsidRPr="00045AE1" w:rsidRDefault="00A80A7E" w:rsidP="00A80A7E">
      <w:pPr>
        <w:pStyle w:val="a3"/>
        <w:tabs>
          <w:tab w:val="left" w:pos="900"/>
        </w:tabs>
        <w:spacing w:before="0" w:beforeAutospacing="0" w:after="0" w:afterAutospacing="0"/>
        <w:ind w:firstLine="540"/>
        <w:jc w:val="both"/>
      </w:pPr>
      <w:r w:rsidRPr="00045AE1">
        <w:t>12.3. Каждый специализированный орган Партнерства действует на основании Положения, утвержденного Советом Партнерства.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>12.4. К специализированным органам Партнерства, которые в обязательном порядке создаются Советом Партнерством, относятся: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 xml:space="preserve">12.4.1. Контрольная комиссия Партнерства - орган, осуществляющий </w:t>
      </w:r>
      <w:proofErr w:type="gramStart"/>
      <w:r w:rsidRPr="00045A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5AE1">
        <w:rPr>
          <w:rFonts w:ascii="Times New Roman" w:hAnsi="Times New Roman" w:cs="Times New Roman"/>
          <w:sz w:val="24"/>
          <w:szCs w:val="24"/>
        </w:rPr>
        <w:t xml:space="preserve"> соблюдением членами Партнерства требований, стандартов и правил </w:t>
      </w:r>
      <w:r w:rsidRPr="00045AE1">
        <w:rPr>
          <w:rFonts w:ascii="Times New Roman" w:hAnsi="Times New Roman" w:cs="Times New Roman"/>
          <w:spacing w:val="-8"/>
          <w:sz w:val="24"/>
          <w:szCs w:val="24"/>
        </w:rPr>
        <w:t>Партнерства</w:t>
      </w:r>
      <w:r w:rsidRPr="00045AE1">
        <w:rPr>
          <w:rFonts w:ascii="Times New Roman" w:hAnsi="Times New Roman" w:cs="Times New Roman"/>
          <w:sz w:val="24"/>
          <w:szCs w:val="24"/>
        </w:rPr>
        <w:t>;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>12.4.2. Дисциплинарная комиссия Партнерства - орган по рассмотрению дел о применении в отношении членов Партнерства мер дисциплинарного воздействия.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>12.5. Контрольная комиссия Партнерства проводит проверки на предмет соответствия юридических лиц и индивидуальных предпринимателей стандартам, правилам и требованиям Партнерства.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>12.6. Дисциплинарная комиссия на основании проведенных проверок рассматривает жалобы на действия членов Партнерства, а также рассматривает дела о применении к членам Партнерства мер дисциплинарного воздействия.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 xml:space="preserve">12.7. </w:t>
      </w:r>
      <w:proofErr w:type="gramStart"/>
      <w:r w:rsidRPr="00045AE1">
        <w:rPr>
          <w:rFonts w:ascii="Times New Roman" w:hAnsi="Times New Roman" w:cs="Times New Roman"/>
          <w:sz w:val="24"/>
          <w:szCs w:val="24"/>
        </w:rPr>
        <w:t>В случае выявления в результате рассмотрения жалобы на действия члена саморегулируемой организации нарушения им требований технических регламентов, требований к выдаче свидетельств о допуске, правил контроля в области саморегулирования, требований стандартов саморегулируемых организаций, правил саморегулирования Дисциплинарная комиссия применяет в отношении такого члена меры дисциплинарного воздействия или направляет в уполномоченный орган Партнерства рекомендации о применении мер дисциплинарного воздействия в пределах компетенции такого</w:t>
      </w:r>
      <w:proofErr w:type="gramEnd"/>
      <w:r w:rsidRPr="00045AE1">
        <w:rPr>
          <w:rFonts w:ascii="Times New Roman" w:hAnsi="Times New Roman" w:cs="Times New Roman"/>
          <w:sz w:val="24"/>
          <w:szCs w:val="24"/>
        </w:rPr>
        <w:t xml:space="preserve"> органа. </w:t>
      </w:r>
    </w:p>
    <w:p w:rsidR="00A80A7E" w:rsidRPr="00045AE1" w:rsidRDefault="00A80A7E" w:rsidP="00A80A7E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045AE1">
        <w:rPr>
          <w:rFonts w:ascii="Times New Roman" w:hAnsi="Times New Roman" w:cs="Times New Roman"/>
          <w:sz w:val="24"/>
          <w:szCs w:val="24"/>
        </w:rPr>
        <w:t>12.8. Порядок рассмотрения дел о применении в отношении членов Партнерства мер дисциплинарного воздействия определяется внутренним документом, утвержденным Общим собранием членов Партнерства.</w:t>
      </w:r>
    </w:p>
    <w:p w:rsidR="0057226D" w:rsidRDefault="0057226D"/>
    <w:sectPr w:rsidR="0057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7E"/>
    <w:rsid w:val="0057226D"/>
    <w:rsid w:val="00A27BD4"/>
    <w:rsid w:val="00A8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80A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A80A7E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80A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A80A7E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2</cp:revision>
  <dcterms:created xsi:type="dcterms:W3CDTF">2015-03-26T08:08:00Z</dcterms:created>
  <dcterms:modified xsi:type="dcterms:W3CDTF">2015-03-26T08:59:00Z</dcterms:modified>
</cp:coreProperties>
</file>